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3B4C837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3E1194">
        <w:rPr>
          <w:noProof w:val="0"/>
          <w:sz w:val="24"/>
          <w:szCs w:val="24"/>
        </w:rPr>
        <w:t>9</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8A1716">
        <w:rPr>
          <w:bCs/>
          <w:noProof w:val="0"/>
          <w:sz w:val="24"/>
          <w:szCs w:val="24"/>
        </w:rPr>
        <w:t>4851</w:t>
      </w:r>
    </w:p>
    <w:p w14:paraId="1822B173" w14:textId="7EA90602"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741EC5">
        <w:rPr>
          <w:rFonts w:cs="Arial"/>
          <w:sz w:val="24"/>
          <w:szCs w:val="24"/>
          <w:lang w:val="en-US"/>
        </w:rPr>
        <w:t>1</w:t>
      </w:r>
      <w:r w:rsidR="003E1194">
        <w:rPr>
          <w:rFonts w:cs="Arial"/>
          <w:sz w:val="24"/>
          <w:szCs w:val="24"/>
          <w:lang w:val="en-US"/>
        </w:rPr>
        <w:t>7</w:t>
      </w:r>
      <w:r w:rsidR="006604E4" w:rsidRPr="006604E4">
        <w:rPr>
          <w:rFonts w:cs="Arial"/>
          <w:sz w:val="24"/>
          <w:szCs w:val="24"/>
          <w:lang w:val="en-US"/>
        </w:rPr>
        <w:t xml:space="preserve"> – </w:t>
      </w:r>
      <w:r w:rsidR="003E1194">
        <w:rPr>
          <w:rFonts w:cs="Arial"/>
          <w:sz w:val="24"/>
          <w:szCs w:val="24"/>
          <w:lang w:val="en-US"/>
        </w:rPr>
        <w:t>2</w:t>
      </w:r>
      <w:r w:rsidR="0026537C">
        <w:rPr>
          <w:rFonts w:cs="Arial"/>
          <w:sz w:val="24"/>
          <w:szCs w:val="24"/>
          <w:lang w:val="en-US"/>
        </w:rPr>
        <w:t>7</w:t>
      </w:r>
      <w:r w:rsidR="006604E4" w:rsidRPr="006604E4">
        <w:rPr>
          <w:rFonts w:cs="Arial"/>
          <w:sz w:val="24"/>
          <w:szCs w:val="24"/>
          <w:lang w:val="en-US"/>
        </w:rPr>
        <w:t xml:space="preserve"> </w:t>
      </w:r>
      <w:r w:rsidR="003E1194">
        <w:rPr>
          <w:rFonts w:cs="Arial"/>
          <w:sz w:val="24"/>
          <w:szCs w:val="24"/>
          <w:lang w:val="en-US"/>
        </w:rPr>
        <w:t>August</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A60BA7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813DB">
        <w:rPr>
          <w:rFonts w:cs="Arial"/>
          <w:b/>
          <w:bCs/>
          <w:sz w:val="24"/>
          <w:lang w:val="en-US" w:eastAsia="ja-JP"/>
        </w:rPr>
        <w:t>15.2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D00292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17D3" w:rsidRPr="00B017D3">
        <w:rPr>
          <w:rFonts w:ascii="Arial" w:hAnsi="Arial" w:cs="Arial"/>
          <w:b/>
          <w:bCs/>
          <w:sz w:val="24"/>
        </w:rPr>
        <w:t xml:space="preserve">Framework for </w:t>
      </w:r>
      <w:proofErr w:type="spellStart"/>
      <w:r w:rsidR="00B017D3" w:rsidRPr="00B017D3">
        <w:rPr>
          <w:rFonts w:ascii="Arial" w:hAnsi="Arial" w:cs="Arial"/>
          <w:b/>
          <w:bCs/>
          <w:sz w:val="24"/>
        </w:rPr>
        <w:t>QoE</w:t>
      </w:r>
      <w:proofErr w:type="spellEnd"/>
      <w:r w:rsidR="00B017D3" w:rsidRPr="00B017D3">
        <w:rPr>
          <w:rFonts w:ascii="Arial" w:hAnsi="Arial" w:cs="Arial"/>
          <w:b/>
          <w:bCs/>
          <w:sz w:val="24"/>
        </w:rPr>
        <w:t xml:space="preserve"> measurement collection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2549AE47" w:rsidR="00CD4C7B" w:rsidRDefault="008F720B" w:rsidP="00CD4C7B">
      <w:r>
        <w:t xml:space="preserve">In this paper we provide initial discussion for Study on NR </w:t>
      </w:r>
      <w:proofErr w:type="spellStart"/>
      <w:r>
        <w:t>QoE</w:t>
      </w:r>
      <w:proofErr w:type="spellEnd"/>
      <w:r>
        <w:t xml:space="preserve"> management and optimizations for diverse services [RP-193256].</w:t>
      </w:r>
      <w:r w:rsidR="000D376D">
        <w:t xml:space="preserve"> </w:t>
      </w:r>
      <w:r>
        <w:t>The objectives for this study item are:</w:t>
      </w:r>
    </w:p>
    <w:p w14:paraId="39664A33" w14:textId="77777777" w:rsidR="008F720B" w:rsidRDefault="008F720B" w:rsidP="008F720B">
      <w:pPr>
        <w:numPr>
          <w:ilvl w:val="0"/>
          <w:numId w:val="5"/>
        </w:numPr>
        <w:tabs>
          <w:tab w:val="num" w:pos="720"/>
        </w:tabs>
        <w:overflowPunct w:val="0"/>
        <w:autoSpaceDE w:val="0"/>
        <w:autoSpaceDN w:val="0"/>
        <w:adjustRightInd w:val="0"/>
        <w:rPr>
          <w:color w:val="000000"/>
          <w:lang w:val="en-US" w:eastAsia="zh-CN"/>
        </w:rPr>
      </w:pPr>
      <w:r>
        <w:rPr>
          <w:color w:val="000000"/>
          <w:lang w:val="en-US" w:eastAsia="zh-CN"/>
        </w:rPr>
        <w:t>Study the potential RAN side solution for supporting a generic framework for triggering, configuring, measurement collection and reporting for various 5G use cases. [RAN3, RAN2]</w:t>
      </w:r>
    </w:p>
    <w:p w14:paraId="24394D43" w14:textId="77777777" w:rsidR="008F720B" w:rsidRDefault="008F720B" w:rsidP="008F720B">
      <w:pPr>
        <w:numPr>
          <w:ilvl w:val="1"/>
          <w:numId w:val="5"/>
        </w:numPr>
        <w:tabs>
          <w:tab w:val="num" w:pos="2880"/>
        </w:tabs>
        <w:overflowPunct w:val="0"/>
        <w:autoSpaceDE w:val="0"/>
        <w:autoSpaceDN w:val="0"/>
        <w:adjustRightInd w:val="0"/>
        <w:rPr>
          <w:color w:val="000000"/>
          <w:lang w:val="en-US" w:eastAsia="zh-CN"/>
        </w:rPr>
      </w:pPr>
      <w:r>
        <w:rPr>
          <w:color w:val="000000"/>
          <w:lang w:val="en-US" w:eastAsia="zh-CN"/>
        </w:rPr>
        <w:t xml:space="preserve">Identify and study the potential solutions (e.g., LTE based solution, reusing MDT mechanism) for configuration and reporting of UE KPI information for certain services (e.g. latency). </w:t>
      </w:r>
    </w:p>
    <w:p w14:paraId="4555C8CC" w14:textId="77777777" w:rsidR="008F720B" w:rsidRDefault="008F720B" w:rsidP="008F720B">
      <w:pPr>
        <w:numPr>
          <w:ilvl w:val="0"/>
          <w:numId w:val="5"/>
        </w:numPr>
        <w:overflowPunct w:val="0"/>
        <w:autoSpaceDE w:val="0"/>
        <w:autoSpaceDN w:val="0"/>
        <w:adjustRightInd w:val="0"/>
        <w:rPr>
          <w:rFonts w:eastAsia="DengXian"/>
          <w:color w:val="000000"/>
          <w:lang w:val="en-US" w:eastAsia="zh-CN"/>
        </w:rPr>
      </w:pPr>
      <w:r>
        <w:rPr>
          <w:rFonts w:eastAsia="DengXian"/>
          <w:color w:val="000000"/>
          <w:lang w:val="en-US" w:eastAsia="zh-CN"/>
        </w:rPr>
        <w:t xml:space="preserve">Study the potential interface impact and solutions (e.g. F1, NG, </w:t>
      </w:r>
      <w:proofErr w:type="spellStart"/>
      <w:r>
        <w:rPr>
          <w:rFonts w:eastAsia="DengXian"/>
          <w:color w:val="000000"/>
          <w:lang w:val="en-US" w:eastAsia="zh-CN"/>
        </w:rPr>
        <w:t>Xn</w:t>
      </w:r>
      <w:proofErr w:type="spellEnd"/>
      <w:r>
        <w:rPr>
          <w:rFonts w:eastAsia="DengXian"/>
          <w:color w:val="000000"/>
          <w:lang w:val="en-US" w:eastAsia="zh-CN"/>
        </w:rPr>
        <w:t xml:space="preserve"> interface) to support </w:t>
      </w:r>
      <w:r>
        <w:rPr>
          <w:color w:val="000000"/>
          <w:lang w:val="en-US" w:eastAsia="zh-CN"/>
        </w:rPr>
        <w:t xml:space="preserve">NR </w:t>
      </w:r>
      <w:proofErr w:type="spellStart"/>
      <w:r>
        <w:rPr>
          <w:color w:val="000000"/>
          <w:lang w:val="en-US" w:eastAsia="zh-CN"/>
        </w:rPr>
        <w:t>QoE</w:t>
      </w:r>
      <w:proofErr w:type="spellEnd"/>
      <w:r>
        <w:rPr>
          <w:color w:val="000000"/>
          <w:lang w:val="en-US" w:eastAsia="zh-CN"/>
        </w:rPr>
        <w:t xml:space="preserve"> functionality.</w:t>
      </w:r>
      <w:r>
        <w:rPr>
          <w:rFonts w:eastAsia="DengXian"/>
          <w:color w:val="000000"/>
          <w:lang w:val="en-US" w:eastAsia="zh-CN"/>
        </w:rPr>
        <w:t xml:space="preserve"> [RAN3]</w:t>
      </w:r>
    </w:p>
    <w:p w14:paraId="4F699ED5" w14:textId="59ACF459" w:rsidR="008F720B" w:rsidRDefault="008F720B" w:rsidP="00CD4C7B"/>
    <w:p w14:paraId="479DA40B" w14:textId="77777777" w:rsidR="00CD4C7B" w:rsidRPr="006E13D1" w:rsidRDefault="00CD4C7B" w:rsidP="00CD4C7B">
      <w:pPr>
        <w:pStyle w:val="Heading1"/>
      </w:pPr>
      <w:r w:rsidRPr="006E13D1">
        <w:t>2</w:t>
      </w:r>
      <w:r w:rsidRPr="006E13D1">
        <w:tab/>
      </w:r>
      <w:r w:rsidR="00972FD7">
        <w:t>Discussion</w:t>
      </w:r>
    </w:p>
    <w:p w14:paraId="7951C329" w14:textId="05FFF804" w:rsidR="008F720B" w:rsidRDefault="005F2BA5" w:rsidP="00CD4C7B">
      <w:pPr>
        <w:pStyle w:val="00BodyText"/>
        <w:spacing w:after="0"/>
        <w:rPr>
          <w:rFonts w:ascii="Times New Roman" w:hAnsi="Times New Roman"/>
          <w:sz w:val="20"/>
          <w:lang w:val="en-GB"/>
        </w:rPr>
      </w:pPr>
      <w:r>
        <w:rPr>
          <w:rFonts w:ascii="Times New Roman" w:hAnsi="Times New Roman"/>
          <w:sz w:val="20"/>
          <w:lang w:val="en-GB"/>
        </w:rPr>
        <w:t xml:space="preserve">For LTE, support of </w:t>
      </w:r>
      <w:proofErr w:type="spellStart"/>
      <w:r>
        <w:rPr>
          <w:rFonts w:ascii="Times New Roman" w:hAnsi="Times New Roman"/>
          <w:sz w:val="20"/>
          <w:lang w:val="en-GB"/>
        </w:rPr>
        <w:t>QoE</w:t>
      </w:r>
      <w:proofErr w:type="spellEnd"/>
      <w:r>
        <w:rPr>
          <w:rFonts w:ascii="Times New Roman" w:hAnsi="Times New Roman"/>
          <w:sz w:val="20"/>
          <w:lang w:val="en-GB"/>
        </w:rPr>
        <w:t xml:space="preserve"> measurements was introduced by RAN2 and RAN3 in Rel-15</w:t>
      </w:r>
      <w:r w:rsidR="00883115">
        <w:rPr>
          <w:rFonts w:ascii="Times New Roman" w:hAnsi="Times New Roman"/>
          <w:sz w:val="20"/>
          <w:lang w:val="en-GB"/>
        </w:rPr>
        <w:t xml:space="preserve"> based on the MDT mechanism as described in TS 36.300 clause 23.16</w:t>
      </w:r>
      <w:r>
        <w:rPr>
          <w:rFonts w:ascii="Times New Roman" w:hAnsi="Times New Roman"/>
          <w:sz w:val="20"/>
          <w:lang w:val="en-GB"/>
        </w:rPr>
        <w:t xml:space="preserve">. </w:t>
      </w:r>
      <w:r w:rsidR="00054161">
        <w:rPr>
          <w:rFonts w:ascii="Times New Roman" w:hAnsi="Times New Roman"/>
          <w:sz w:val="20"/>
          <w:lang w:val="en-GB"/>
        </w:rPr>
        <w:t xml:space="preserve">The MDT mechanism is described in TS 37.320 (RAN2) and TS 32.422 (SA5). </w:t>
      </w:r>
      <w:r w:rsidR="00883115">
        <w:rPr>
          <w:rFonts w:ascii="Times New Roman" w:hAnsi="Times New Roman"/>
          <w:sz w:val="20"/>
          <w:lang w:val="en-GB"/>
        </w:rPr>
        <w:t xml:space="preserve">At </w:t>
      </w:r>
      <w:r w:rsidR="00054161">
        <w:rPr>
          <w:rFonts w:ascii="Times New Roman" w:hAnsi="Times New Roman"/>
          <w:sz w:val="20"/>
          <w:lang w:val="en-GB"/>
        </w:rPr>
        <w:t xml:space="preserve">network signalling </w:t>
      </w:r>
      <w:r w:rsidR="00883115">
        <w:rPr>
          <w:rFonts w:ascii="Times New Roman" w:hAnsi="Times New Roman"/>
          <w:sz w:val="20"/>
          <w:lang w:val="en-GB"/>
        </w:rPr>
        <w:t xml:space="preserve">protocol level, </w:t>
      </w:r>
      <w:r w:rsidR="00054161">
        <w:rPr>
          <w:rFonts w:ascii="Times New Roman" w:hAnsi="Times New Roman"/>
          <w:sz w:val="20"/>
          <w:lang w:val="en-GB"/>
        </w:rPr>
        <w:t xml:space="preserve">support for </w:t>
      </w:r>
      <w:r w:rsidR="00883115">
        <w:rPr>
          <w:rFonts w:ascii="Times New Roman" w:hAnsi="Times New Roman"/>
          <w:sz w:val="20"/>
          <w:lang w:val="en-GB"/>
        </w:rPr>
        <w:t>s</w:t>
      </w:r>
      <w:r>
        <w:rPr>
          <w:rFonts w:ascii="Times New Roman" w:hAnsi="Times New Roman"/>
          <w:sz w:val="20"/>
          <w:lang w:val="en-GB"/>
        </w:rPr>
        <w:t>ignalling based activation was introduced in the Trace Start procedure over S1 and X2 (</w:t>
      </w:r>
      <w:r w:rsidRPr="005F2BA5">
        <w:rPr>
          <w:rFonts w:ascii="Times New Roman" w:hAnsi="Times New Roman"/>
          <w:i/>
          <w:iCs/>
          <w:sz w:val="20"/>
          <w:lang w:val="en-GB"/>
        </w:rPr>
        <w:t>UE Application layer measurement configuration</w:t>
      </w:r>
      <w:r>
        <w:rPr>
          <w:rFonts w:ascii="Times New Roman" w:hAnsi="Times New Roman"/>
          <w:sz w:val="20"/>
          <w:lang w:val="en-GB"/>
        </w:rPr>
        <w:t xml:space="preserve"> IE). RRC support include</w:t>
      </w:r>
      <w:r w:rsidR="00883115">
        <w:rPr>
          <w:rFonts w:ascii="Times New Roman" w:hAnsi="Times New Roman"/>
          <w:sz w:val="20"/>
          <w:lang w:val="en-GB"/>
        </w:rPr>
        <w:t>s</w:t>
      </w:r>
      <w:r>
        <w:rPr>
          <w:rFonts w:ascii="Times New Roman" w:hAnsi="Times New Roman"/>
          <w:sz w:val="20"/>
          <w:lang w:val="en-GB"/>
        </w:rPr>
        <w:t xml:space="preserve"> measurement configuration in the UE and measurement reporting over the control plane (</w:t>
      </w:r>
      <w:proofErr w:type="spellStart"/>
      <w:r w:rsidRPr="005F2BA5">
        <w:rPr>
          <w:rFonts w:ascii="Times New Roman" w:hAnsi="Times New Roman"/>
          <w:i/>
          <w:iCs/>
          <w:sz w:val="20"/>
          <w:lang w:val="en-GB"/>
        </w:rPr>
        <w:t>MeasReportAppLayer</w:t>
      </w:r>
      <w:proofErr w:type="spellEnd"/>
      <w:r w:rsidRPr="005F2BA5">
        <w:rPr>
          <w:rFonts w:ascii="Times New Roman" w:hAnsi="Times New Roman"/>
          <w:sz w:val="20"/>
          <w:lang w:val="en-GB"/>
        </w:rPr>
        <w:t xml:space="preserve"> message</w:t>
      </w:r>
      <w:r>
        <w:rPr>
          <w:rFonts w:ascii="Times New Roman" w:hAnsi="Times New Roman"/>
          <w:sz w:val="20"/>
          <w:lang w:val="en-GB"/>
        </w:rPr>
        <w:t xml:space="preserve"> carrying the </w:t>
      </w:r>
      <w:proofErr w:type="spellStart"/>
      <w:r w:rsidRPr="005F2BA5">
        <w:rPr>
          <w:rFonts w:ascii="Times New Roman" w:hAnsi="Times New Roman"/>
          <w:i/>
          <w:iCs/>
          <w:sz w:val="20"/>
          <w:lang w:val="en-GB"/>
        </w:rPr>
        <w:t>measReportAppLayerContainer</w:t>
      </w:r>
      <w:proofErr w:type="spellEnd"/>
      <w:r w:rsidR="00632D1B">
        <w:rPr>
          <w:rFonts w:ascii="Times New Roman" w:hAnsi="Times New Roman"/>
          <w:sz w:val="20"/>
          <w:lang w:val="en-GB"/>
        </w:rPr>
        <w:t xml:space="preserve"> defined in  SA4 specification (</w:t>
      </w:r>
      <w:r w:rsidR="00632D1B" w:rsidRPr="00632D1B">
        <w:rPr>
          <w:rFonts w:ascii="Times New Roman" w:hAnsi="Times New Roman"/>
          <w:sz w:val="20"/>
          <w:lang w:val="en-GB"/>
        </w:rPr>
        <w:t>TS 26.247</w:t>
      </w:r>
      <w:r w:rsidR="00632D1B">
        <w:rPr>
          <w:rFonts w:ascii="Times New Roman" w:hAnsi="Times New Roman"/>
          <w:sz w:val="20"/>
          <w:lang w:val="en-GB"/>
        </w:rPr>
        <w:t xml:space="preserve">, </w:t>
      </w:r>
      <w:r w:rsidR="00632D1B" w:rsidRPr="00632D1B">
        <w:rPr>
          <w:rFonts w:ascii="Times New Roman" w:hAnsi="Times New Roman"/>
          <w:sz w:val="20"/>
          <w:lang w:val="en-GB"/>
        </w:rPr>
        <w:t>TS 26.114</w:t>
      </w:r>
      <w:r w:rsidR="00632D1B">
        <w:rPr>
          <w:rFonts w:ascii="Times New Roman" w:hAnsi="Times New Roman"/>
          <w:sz w:val="20"/>
          <w:lang w:val="en-GB"/>
        </w:rPr>
        <w:t>))</w:t>
      </w:r>
      <w:r>
        <w:rPr>
          <w:rFonts w:ascii="Times New Roman" w:hAnsi="Times New Roman"/>
          <w:sz w:val="20"/>
          <w:lang w:val="en-GB"/>
        </w:rPr>
        <w:t xml:space="preserve">. </w:t>
      </w:r>
    </w:p>
    <w:p w14:paraId="52BA0D06" w14:textId="46927652" w:rsidR="00FB665B" w:rsidRDefault="00FB665B" w:rsidP="00CD4C7B">
      <w:pPr>
        <w:pStyle w:val="00BodyText"/>
        <w:spacing w:after="0"/>
        <w:rPr>
          <w:rFonts w:ascii="Times New Roman" w:hAnsi="Times New Roman"/>
          <w:sz w:val="20"/>
          <w:lang w:val="en-GB"/>
        </w:rPr>
      </w:pPr>
    </w:p>
    <w:p w14:paraId="33A0C3B2" w14:textId="77777777" w:rsidR="00FB665B" w:rsidRPr="000E4E7F" w:rsidRDefault="00FB665B" w:rsidP="00FB665B">
      <w:pPr>
        <w:pStyle w:val="TH"/>
      </w:pPr>
      <w:r w:rsidRPr="000E4E7F">
        <w:object w:dxaOrig="6855" w:dyaOrig="2535" w14:anchorId="54895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7" o:title=""/>
          </v:shape>
          <o:OLEObject Type="Embed" ProgID="Word.Picture.8" ShapeID="_x0000_i1025" DrawAspect="Content" ObjectID="_1658256115" r:id="rId8"/>
        </w:object>
      </w:r>
    </w:p>
    <w:p w14:paraId="39805B1B" w14:textId="2E660984" w:rsidR="00FB665B" w:rsidRPr="000E4E7F" w:rsidRDefault="00FB665B" w:rsidP="00FB665B">
      <w:pPr>
        <w:pStyle w:val="TF"/>
      </w:pPr>
      <w:r>
        <w:t>TS 36.331 f</w:t>
      </w:r>
      <w:r w:rsidRPr="000E4E7F">
        <w:t>igure 5.6.19.1-1: Application layer measurement reporting</w:t>
      </w:r>
    </w:p>
    <w:p w14:paraId="19FEF8BD" w14:textId="760E33B1" w:rsidR="00632D1B" w:rsidRDefault="00883115" w:rsidP="00CD4C7B">
      <w:pPr>
        <w:pStyle w:val="00BodyText"/>
        <w:spacing w:after="0"/>
        <w:rPr>
          <w:rFonts w:ascii="Times New Roman" w:hAnsi="Times New Roman"/>
          <w:sz w:val="20"/>
          <w:lang w:val="en-GB"/>
        </w:rPr>
      </w:pPr>
      <w:r w:rsidRPr="00883115">
        <w:rPr>
          <w:rFonts w:ascii="Times New Roman" w:hAnsi="Times New Roman"/>
          <w:sz w:val="20"/>
          <w:lang w:val="en-GB"/>
        </w:rPr>
        <w:t xml:space="preserve">QoE Measurement Collection </w:t>
      </w:r>
      <w:r w:rsidR="00F76153">
        <w:rPr>
          <w:rFonts w:ascii="Times New Roman" w:hAnsi="Times New Roman"/>
          <w:sz w:val="20"/>
          <w:lang w:val="en-GB"/>
        </w:rPr>
        <w:t xml:space="preserve">(QMC) </w:t>
      </w:r>
      <w:r>
        <w:rPr>
          <w:rFonts w:ascii="Times New Roman" w:hAnsi="Times New Roman"/>
          <w:sz w:val="20"/>
          <w:lang w:val="en-GB"/>
        </w:rPr>
        <w:t xml:space="preserve">for LTE </w:t>
      </w:r>
      <w:r w:rsidR="00F76153">
        <w:rPr>
          <w:rFonts w:ascii="Times New Roman" w:hAnsi="Times New Roman"/>
          <w:sz w:val="20"/>
          <w:lang w:val="en-GB"/>
        </w:rPr>
        <w:t>are intended for</w:t>
      </w:r>
      <w:r>
        <w:rPr>
          <w:rFonts w:ascii="Times New Roman" w:hAnsi="Times New Roman"/>
          <w:sz w:val="20"/>
          <w:lang w:val="en-GB"/>
        </w:rPr>
        <w:t xml:space="preserve"> </w:t>
      </w:r>
      <w:r w:rsidRPr="00883115">
        <w:rPr>
          <w:rFonts w:ascii="Times New Roman" w:hAnsi="Times New Roman"/>
          <w:sz w:val="20"/>
          <w:lang w:val="en-GB"/>
        </w:rPr>
        <w:t>streaming services</w:t>
      </w:r>
      <w:r>
        <w:rPr>
          <w:rFonts w:ascii="Times New Roman" w:hAnsi="Times New Roman"/>
          <w:sz w:val="20"/>
          <w:lang w:val="en-GB"/>
        </w:rPr>
        <w:t xml:space="preserve"> and MTSI (</w:t>
      </w:r>
      <w:r w:rsidRPr="00883115">
        <w:rPr>
          <w:rFonts w:ascii="Times New Roman" w:hAnsi="Times New Roman"/>
          <w:sz w:val="20"/>
          <w:lang w:val="en-GB"/>
        </w:rPr>
        <w:t>Multimedia Telephony Service for IMS</w:t>
      </w:r>
      <w:r>
        <w:rPr>
          <w:rFonts w:ascii="Times New Roman" w:hAnsi="Times New Roman"/>
          <w:sz w:val="20"/>
          <w:lang w:val="en-GB"/>
        </w:rPr>
        <w:t>) services.</w:t>
      </w:r>
      <w:r w:rsidR="00B10034">
        <w:rPr>
          <w:rFonts w:ascii="Times New Roman" w:hAnsi="Times New Roman"/>
          <w:sz w:val="20"/>
          <w:lang w:val="en-GB"/>
        </w:rPr>
        <w:t xml:space="preserve"> SA4 has specified support of the following metrics (TS 26.114):</w:t>
      </w:r>
    </w:p>
    <w:p w14:paraId="1AB283E9" w14:textId="77777777" w:rsidR="00B10034" w:rsidRDefault="00B10034" w:rsidP="00CD4C7B">
      <w:pPr>
        <w:pStyle w:val="00BodyText"/>
        <w:spacing w:after="0"/>
        <w:rPr>
          <w:rFonts w:ascii="Times New Roman" w:hAnsi="Times New Roman"/>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63"/>
      </w:tblGrid>
      <w:tr w:rsidR="00F960FD" w14:paraId="11C39747" w14:textId="77777777" w:rsidTr="00C52749">
        <w:tc>
          <w:tcPr>
            <w:tcW w:w="2518" w:type="dxa"/>
            <w:shd w:val="clear" w:color="auto" w:fill="auto"/>
          </w:tcPr>
          <w:p w14:paraId="02B57AA1" w14:textId="28FAD258" w:rsidR="00F960FD" w:rsidRPr="00C52749" w:rsidRDefault="00F960FD" w:rsidP="00C52749">
            <w:pPr>
              <w:pStyle w:val="00BodyText"/>
              <w:spacing w:after="0"/>
              <w:rPr>
                <w:rFonts w:ascii="Arial Black" w:hAnsi="Arial Black"/>
                <w:sz w:val="20"/>
                <w:lang w:val="en-GB"/>
              </w:rPr>
            </w:pPr>
            <w:r w:rsidRPr="00C52749">
              <w:rPr>
                <w:rFonts w:ascii="Arial Black" w:hAnsi="Arial Black"/>
                <w:sz w:val="20"/>
                <w:lang w:val="en-GB"/>
              </w:rPr>
              <w:t>Corruption duration metric</w:t>
            </w:r>
          </w:p>
        </w:tc>
        <w:tc>
          <w:tcPr>
            <w:tcW w:w="7263" w:type="dxa"/>
            <w:shd w:val="clear" w:color="auto" w:fill="auto"/>
          </w:tcPr>
          <w:p w14:paraId="072E2EBC" w14:textId="45BF7284" w:rsidR="00F960FD" w:rsidRPr="00C52749" w:rsidRDefault="00F960FD" w:rsidP="00C52749">
            <w:pPr>
              <w:pStyle w:val="00BodyText"/>
              <w:spacing w:after="0"/>
              <w:rPr>
                <w:rFonts w:ascii="Times New Roman" w:hAnsi="Times New Roman"/>
                <w:sz w:val="20"/>
                <w:lang w:val="en-GB"/>
              </w:rPr>
            </w:pPr>
            <w:r w:rsidRPr="00C52749">
              <w:rPr>
                <w:rFonts w:ascii="Times New Roman" w:hAnsi="Times New Roman"/>
                <w:sz w:val="20"/>
                <w:lang w:val="en-GB"/>
              </w:rPr>
              <w:t>Corruption duration, M, is the time period from the NPT (Normal Play Time) time of the last good frame (since the NPT time for the first corrupted frame cannot always be determined) before the corruption, to the NPT time of the first subsequent good frame.</w:t>
            </w:r>
          </w:p>
        </w:tc>
      </w:tr>
      <w:tr w:rsidR="00F960FD" w14:paraId="28D2A7B5" w14:textId="77777777" w:rsidTr="00C52749">
        <w:tc>
          <w:tcPr>
            <w:tcW w:w="2518" w:type="dxa"/>
            <w:shd w:val="clear" w:color="auto" w:fill="auto"/>
          </w:tcPr>
          <w:p w14:paraId="178F3303" w14:textId="5343CC80" w:rsidR="00F960FD" w:rsidRPr="00C52749" w:rsidRDefault="00F960FD" w:rsidP="00C52749">
            <w:pPr>
              <w:pStyle w:val="00BodyText"/>
              <w:spacing w:after="0"/>
              <w:rPr>
                <w:rFonts w:ascii="Arial Black" w:hAnsi="Arial Black"/>
                <w:sz w:val="20"/>
                <w:lang w:val="en-GB"/>
              </w:rPr>
            </w:pPr>
            <w:r w:rsidRPr="00C52749">
              <w:rPr>
                <w:rFonts w:ascii="Arial Black" w:hAnsi="Arial Black"/>
                <w:sz w:val="20"/>
                <w:lang w:val="en-GB"/>
              </w:rPr>
              <w:t xml:space="preserve">Successive loss of </w:t>
            </w:r>
            <w:r w:rsidRPr="00C52749">
              <w:rPr>
                <w:rFonts w:ascii="Arial Black" w:hAnsi="Arial Black"/>
                <w:sz w:val="20"/>
                <w:lang w:val="en-GB"/>
              </w:rPr>
              <w:lastRenderedPageBreak/>
              <w:t>RTP packets</w:t>
            </w:r>
          </w:p>
        </w:tc>
        <w:tc>
          <w:tcPr>
            <w:tcW w:w="7263" w:type="dxa"/>
            <w:shd w:val="clear" w:color="auto" w:fill="auto"/>
          </w:tcPr>
          <w:p w14:paraId="6BA4B578" w14:textId="2189FC2F" w:rsidR="00F960FD" w:rsidRPr="00C52749" w:rsidRDefault="00F960FD" w:rsidP="00C52749">
            <w:pPr>
              <w:pStyle w:val="00BodyText"/>
              <w:spacing w:after="0"/>
              <w:rPr>
                <w:rFonts w:ascii="Times New Roman" w:hAnsi="Times New Roman"/>
                <w:sz w:val="20"/>
                <w:lang w:val="en-GB"/>
              </w:rPr>
            </w:pPr>
            <w:r w:rsidRPr="00C52749">
              <w:rPr>
                <w:rFonts w:ascii="Times New Roman" w:hAnsi="Times New Roman"/>
                <w:sz w:val="20"/>
                <w:lang w:val="en-GB"/>
              </w:rPr>
              <w:lastRenderedPageBreak/>
              <w:t>Indicates the number of RTP packets lost in succession per media channel</w:t>
            </w:r>
          </w:p>
        </w:tc>
      </w:tr>
      <w:tr w:rsidR="00F960FD" w14:paraId="48A74F73" w14:textId="77777777" w:rsidTr="00C52749">
        <w:tc>
          <w:tcPr>
            <w:tcW w:w="2518" w:type="dxa"/>
            <w:shd w:val="clear" w:color="auto" w:fill="auto"/>
          </w:tcPr>
          <w:p w14:paraId="3478843A" w14:textId="3B67338D" w:rsidR="00F960FD" w:rsidRPr="00C52749" w:rsidRDefault="00F960FD" w:rsidP="00C52749">
            <w:pPr>
              <w:pStyle w:val="00BodyText"/>
              <w:spacing w:after="0"/>
              <w:rPr>
                <w:rFonts w:ascii="Arial Black" w:hAnsi="Arial Black"/>
                <w:sz w:val="20"/>
                <w:lang w:val="en-GB"/>
              </w:rPr>
            </w:pPr>
            <w:r w:rsidRPr="00C52749">
              <w:rPr>
                <w:rFonts w:ascii="Arial Black" w:hAnsi="Arial Black"/>
                <w:sz w:val="20"/>
                <w:lang w:val="en-GB"/>
              </w:rPr>
              <w:t>Frame rate</w:t>
            </w:r>
          </w:p>
        </w:tc>
        <w:tc>
          <w:tcPr>
            <w:tcW w:w="7263" w:type="dxa"/>
            <w:shd w:val="clear" w:color="auto" w:fill="auto"/>
          </w:tcPr>
          <w:p w14:paraId="0E7564C3" w14:textId="60CA1C09" w:rsidR="00F960FD" w:rsidRDefault="00F960FD" w:rsidP="00C52749">
            <w:r>
              <w:t>Frame rate indicates the playback frame rate. The playback frame rate is equal to the number of frames displayed during the measurement resolution period divided by the time duration, in seconds, of the measurement resolution period.</w:t>
            </w:r>
          </w:p>
        </w:tc>
      </w:tr>
      <w:tr w:rsidR="00F960FD" w14:paraId="54AB0E24" w14:textId="77777777" w:rsidTr="00C52749">
        <w:tc>
          <w:tcPr>
            <w:tcW w:w="2518" w:type="dxa"/>
            <w:shd w:val="clear" w:color="auto" w:fill="auto"/>
          </w:tcPr>
          <w:p w14:paraId="559FDAF9" w14:textId="4C877AD2" w:rsidR="00F960FD" w:rsidRPr="00C52749" w:rsidRDefault="00AF4706" w:rsidP="00C52749">
            <w:pPr>
              <w:pStyle w:val="00BodyText"/>
              <w:spacing w:after="0"/>
              <w:rPr>
                <w:rFonts w:ascii="Arial Black" w:hAnsi="Arial Black"/>
                <w:sz w:val="20"/>
                <w:lang w:val="en-GB"/>
              </w:rPr>
            </w:pPr>
            <w:r w:rsidRPr="00C52749">
              <w:rPr>
                <w:rFonts w:ascii="Arial Black" w:hAnsi="Arial Black"/>
                <w:sz w:val="20"/>
                <w:lang w:val="en-GB"/>
              </w:rPr>
              <w:t>Jitter duration</w:t>
            </w:r>
          </w:p>
        </w:tc>
        <w:tc>
          <w:tcPr>
            <w:tcW w:w="7263" w:type="dxa"/>
            <w:shd w:val="clear" w:color="auto" w:fill="auto"/>
          </w:tcPr>
          <w:p w14:paraId="70A06762" w14:textId="5CB706BF" w:rsidR="00F960FD" w:rsidRPr="00C52749" w:rsidRDefault="00AF4706" w:rsidP="00C52749">
            <w:pPr>
              <w:pStyle w:val="00BodyText"/>
              <w:spacing w:after="0"/>
              <w:rPr>
                <w:rFonts w:ascii="Times New Roman" w:hAnsi="Times New Roman"/>
                <w:sz w:val="20"/>
                <w:lang w:val="en-GB"/>
              </w:rPr>
            </w:pPr>
            <w:r w:rsidRPr="00C52749">
              <w:rPr>
                <w:rFonts w:ascii="Times New Roman" w:hAnsi="Times New Roman"/>
                <w:sz w:val="20"/>
                <w:lang w:val="en-GB"/>
              </w:rPr>
              <w:t xml:space="preserve">Jitter happens when the absolute difference between the actual playback time and the expected playback time is larger than </w:t>
            </w:r>
            <w:r w:rsidRPr="00C52749">
              <w:rPr>
                <w:rFonts w:ascii="Times New Roman" w:hAnsi="Times New Roman"/>
                <w:i/>
                <w:iCs/>
                <w:sz w:val="20"/>
                <w:lang w:val="en-GB"/>
              </w:rPr>
              <w:t>JitterThreshold</w:t>
            </w:r>
            <w:r w:rsidRPr="00C52749">
              <w:rPr>
                <w:rFonts w:ascii="Times New Roman" w:hAnsi="Times New Roman"/>
                <w:sz w:val="20"/>
                <w:lang w:val="en-GB"/>
              </w:rPr>
              <w:t xml:space="preserve"> milliseconds. The expected time of a frame is equal to the actual playback time of the last played frame plus the difference between the NPT time of the frame and the NPT time of the last played frame.</w:t>
            </w:r>
          </w:p>
        </w:tc>
      </w:tr>
      <w:tr w:rsidR="005B0BFE" w14:paraId="70BE08A7" w14:textId="77777777" w:rsidTr="00C52749">
        <w:tc>
          <w:tcPr>
            <w:tcW w:w="2518" w:type="dxa"/>
            <w:shd w:val="clear" w:color="auto" w:fill="auto"/>
          </w:tcPr>
          <w:p w14:paraId="1801341A" w14:textId="3B7E95D0" w:rsidR="005B0BFE" w:rsidRPr="00C52749" w:rsidRDefault="00747CE6" w:rsidP="00C52749">
            <w:pPr>
              <w:pStyle w:val="00BodyText"/>
              <w:spacing w:after="0"/>
              <w:rPr>
                <w:rFonts w:ascii="Arial Black" w:hAnsi="Arial Black"/>
                <w:sz w:val="20"/>
                <w:lang w:val="en-GB"/>
              </w:rPr>
            </w:pPr>
            <w:r w:rsidRPr="00C52749">
              <w:rPr>
                <w:rFonts w:ascii="Arial Black" w:hAnsi="Arial Black"/>
                <w:sz w:val="20"/>
                <w:lang w:val="en-GB"/>
              </w:rPr>
              <w:t>Sync loss duration</w:t>
            </w:r>
          </w:p>
        </w:tc>
        <w:tc>
          <w:tcPr>
            <w:tcW w:w="7263" w:type="dxa"/>
            <w:shd w:val="clear" w:color="auto" w:fill="auto"/>
          </w:tcPr>
          <w:p w14:paraId="013887CA" w14:textId="0271C771" w:rsidR="005B0BFE" w:rsidRPr="00C52749" w:rsidRDefault="00747CE6" w:rsidP="00C52749">
            <w:pPr>
              <w:pStyle w:val="00BodyText"/>
              <w:spacing w:after="0"/>
              <w:rPr>
                <w:rFonts w:ascii="Times New Roman" w:hAnsi="Times New Roman"/>
                <w:sz w:val="20"/>
                <w:lang w:val="en-GB"/>
              </w:rPr>
            </w:pPr>
            <w:r w:rsidRPr="00C52749">
              <w:rPr>
                <w:rFonts w:ascii="Times New Roman" w:hAnsi="Times New Roman"/>
                <w:sz w:val="20"/>
                <w:lang w:val="en-GB"/>
              </w:rPr>
              <w:t xml:space="preserve">Sync loss happens when the absolute difference between value A and value B is larger than </w:t>
            </w:r>
            <w:r w:rsidRPr="00C52749">
              <w:rPr>
                <w:rFonts w:ascii="Times New Roman" w:hAnsi="Times New Roman"/>
                <w:i/>
                <w:iCs/>
                <w:sz w:val="20"/>
                <w:lang w:val="en-GB"/>
              </w:rPr>
              <w:t>SyncThreshold</w:t>
            </w:r>
            <w:r w:rsidRPr="00C52749">
              <w:rPr>
                <w:rFonts w:ascii="Times New Roman" w:hAnsi="Times New Roman"/>
                <w:sz w:val="20"/>
                <w:lang w:val="en-GB"/>
              </w:rPr>
              <w:t xml:space="preserve"> 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w:t>
            </w:r>
          </w:p>
        </w:tc>
      </w:tr>
      <w:tr w:rsidR="00747CE6" w14:paraId="175111F0" w14:textId="77777777" w:rsidTr="00C52749">
        <w:tc>
          <w:tcPr>
            <w:tcW w:w="2518" w:type="dxa"/>
            <w:shd w:val="clear" w:color="auto" w:fill="auto"/>
          </w:tcPr>
          <w:p w14:paraId="3DC24DD9" w14:textId="43F387E2" w:rsidR="00747CE6" w:rsidRPr="00C52749" w:rsidRDefault="00C66B4E" w:rsidP="00C52749">
            <w:pPr>
              <w:pStyle w:val="00BodyText"/>
              <w:spacing w:after="0"/>
              <w:rPr>
                <w:rFonts w:ascii="Arial Black" w:hAnsi="Arial Black"/>
                <w:sz w:val="20"/>
                <w:lang w:val="en-GB"/>
              </w:rPr>
            </w:pPr>
            <w:r w:rsidRPr="00C52749">
              <w:rPr>
                <w:rFonts w:ascii="Arial Black" w:hAnsi="Arial Black"/>
                <w:sz w:val="20"/>
                <w:lang w:val="en-GB"/>
              </w:rPr>
              <w:t>Round-trip time</w:t>
            </w:r>
          </w:p>
        </w:tc>
        <w:tc>
          <w:tcPr>
            <w:tcW w:w="7263" w:type="dxa"/>
            <w:shd w:val="clear" w:color="auto" w:fill="auto"/>
          </w:tcPr>
          <w:p w14:paraId="3D1C4865" w14:textId="77777777" w:rsidR="00C66B4E" w:rsidRDefault="00C66B4E" w:rsidP="00C52749">
            <w:pPr>
              <w:spacing w:after="0"/>
            </w:pPr>
            <w:r>
              <w:t>The round-trip time (RTT) consists of the RTP-level round-trip time, plus the additional two-way delay (RTP level-&gt;loudspeaker-&gt;microphone-&gt;RTP level) due to buffering and other processing in each client.</w:t>
            </w:r>
          </w:p>
          <w:p w14:paraId="623145D6" w14:textId="77777777" w:rsidR="00747CE6" w:rsidRPr="00C52749" w:rsidRDefault="00747CE6" w:rsidP="00C52749">
            <w:pPr>
              <w:pStyle w:val="00BodyText"/>
              <w:spacing w:after="0"/>
              <w:rPr>
                <w:rFonts w:ascii="Times New Roman" w:hAnsi="Times New Roman"/>
                <w:sz w:val="20"/>
                <w:lang w:val="en-GB"/>
              </w:rPr>
            </w:pPr>
          </w:p>
        </w:tc>
      </w:tr>
      <w:tr w:rsidR="00C66B4E" w14:paraId="40CC47C4" w14:textId="77777777" w:rsidTr="00C52749">
        <w:tc>
          <w:tcPr>
            <w:tcW w:w="2518" w:type="dxa"/>
            <w:shd w:val="clear" w:color="auto" w:fill="auto"/>
          </w:tcPr>
          <w:p w14:paraId="4450E51F" w14:textId="26B84FE6" w:rsidR="00C66B4E" w:rsidRPr="00C52749" w:rsidRDefault="00484DC5" w:rsidP="00C52749">
            <w:pPr>
              <w:pStyle w:val="00BodyText"/>
              <w:spacing w:after="0"/>
              <w:rPr>
                <w:rFonts w:ascii="Arial Black" w:hAnsi="Arial Black"/>
                <w:sz w:val="20"/>
                <w:lang w:val="en-GB"/>
              </w:rPr>
            </w:pPr>
            <w:r w:rsidRPr="00C52749">
              <w:rPr>
                <w:rFonts w:ascii="Arial Black" w:hAnsi="Arial Black"/>
                <w:sz w:val="20"/>
                <w:lang w:val="en-GB"/>
              </w:rPr>
              <w:t>Average codec bitrate</w:t>
            </w:r>
          </w:p>
        </w:tc>
        <w:tc>
          <w:tcPr>
            <w:tcW w:w="7263" w:type="dxa"/>
            <w:shd w:val="clear" w:color="auto" w:fill="auto"/>
          </w:tcPr>
          <w:p w14:paraId="6E72AFB9" w14:textId="722B9660" w:rsidR="00C66B4E" w:rsidRDefault="00484DC5" w:rsidP="00484DC5">
            <w:r>
              <w:t xml:space="preserve">The average codec bitrate is the bitrate used for coding "active" media information during the measurement resolution period. </w:t>
            </w:r>
          </w:p>
        </w:tc>
      </w:tr>
      <w:tr w:rsidR="00484DC5" w14:paraId="38876B3F" w14:textId="77777777" w:rsidTr="00C52749">
        <w:tc>
          <w:tcPr>
            <w:tcW w:w="2518" w:type="dxa"/>
            <w:shd w:val="clear" w:color="auto" w:fill="auto"/>
          </w:tcPr>
          <w:p w14:paraId="0323AD01" w14:textId="6860FFA2" w:rsidR="00484DC5" w:rsidRPr="00C52749" w:rsidRDefault="0030443E" w:rsidP="00C52749">
            <w:pPr>
              <w:pStyle w:val="00BodyText"/>
              <w:spacing w:after="0"/>
              <w:rPr>
                <w:rFonts w:ascii="Arial Black" w:hAnsi="Arial Black"/>
                <w:sz w:val="20"/>
                <w:lang w:val="en-GB"/>
              </w:rPr>
            </w:pPr>
            <w:r w:rsidRPr="00C52749">
              <w:rPr>
                <w:rFonts w:ascii="Arial Black" w:hAnsi="Arial Black"/>
                <w:sz w:val="20"/>
                <w:lang w:val="en-GB"/>
              </w:rPr>
              <w:t>Codec information</w:t>
            </w:r>
          </w:p>
        </w:tc>
        <w:tc>
          <w:tcPr>
            <w:tcW w:w="7263" w:type="dxa"/>
            <w:shd w:val="clear" w:color="auto" w:fill="auto"/>
          </w:tcPr>
          <w:p w14:paraId="0AB0B7CA" w14:textId="10BD0ADD" w:rsidR="00484DC5" w:rsidRDefault="0030443E" w:rsidP="00484DC5">
            <w:r>
              <w:t>The codec information metrics contain details of the media codec settings used in the receiving direction during the measurement resolution period.</w:t>
            </w:r>
          </w:p>
        </w:tc>
      </w:tr>
    </w:tbl>
    <w:p w14:paraId="77832828" w14:textId="7DA8725A" w:rsidR="00B10034" w:rsidRDefault="00B10034" w:rsidP="00CD4C7B">
      <w:pPr>
        <w:pStyle w:val="00BodyText"/>
        <w:spacing w:after="0"/>
        <w:rPr>
          <w:rFonts w:ascii="Times New Roman" w:hAnsi="Times New Roman"/>
          <w:sz w:val="20"/>
          <w:lang w:val="en-GB"/>
        </w:rPr>
      </w:pPr>
    </w:p>
    <w:p w14:paraId="4237CF38" w14:textId="73939680" w:rsidR="00B10034" w:rsidRDefault="00F76153" w:rsidP="00CD4C7B">
      <w:pPr>
        <w:pStyle w:val="00BodyText"/>
        <w:spacing w:after="0"/>
        <w:rPr>
          <w:rFonts w:ascii="Times New Roman" w:hAnsi="Times New Roman"/>
          <w:sz w:val="20"/>
          <w:lang w:val="en-GB"/>
        </w:rPr>
      </w:pPr>
      <w:r>
        <w:rPr>
          <w:rFonts w:ascii="Times New Roman" w:hAnsi="Times New Roman"/>
          <w:sz w:val="20"/>
          <w:lang w:val="en-GB"/>
        </w:rPr>
        <w:t xml:space="preserve">QMC for NR, to be introduced in the present work item, should take into account that the applications for </w:t>
      </w:r>
      <w:r w:rsidRPr="00883115">
        <w:rPr>
          <w:rFonts w:ascii="Times New Roman" w:hAnsi="Times New Roman"/>
          <w:sz w:val="20"/>
          <w:lang w:val="en-GB"/>
        </w:rPr>
        <w:t xml:space="preserve">streaming </w:t>
      </w:r>
      <w:r>
        <w:rPr>
          <w:rFonts w:ascii="Times New Roman" w:hAnsi="Times New Roman"/>
          <w:sz w:val="20"/>
          <w:lang w:val="en-GB"/>
        </w:rPr>
        <w:t>and MTSI services currently supporting the above measurements will also run on UEs supporting NR</w:t>
      </w:r>
      <w:r w:rsidR="008F1FE4">
        <w:rPr>
          <w:rFonts w:ascii="Times New Roman" w:hAnsi="Times New Roman"/>
          <w:sz w:val="20"/>
          <w:lang w:val="en-GB"/>
        </w:rPr>
        <w:t xml:space="preserve">, and it seems to be a good design choice that measurement configuration and reporting </w:t>
      </w:r>
      <w:r w:rsidR="00FB665B">
        <w:rPr>
          <w:rFonts w:ascii="Times New Roman" w:hAnsi="Times New Roman"/>
          <w:sz w:val="20"/>
          <w:lang w:val="en-GB"/>
        </w:rPr>
        <w:t xml:space="preserve">for these legacy services </w:t>
      </w:r>
      <w:r w:rsidR="008F1FE4">
        <w:rPr>
          <w:rFonts w:ascii="Times New Roman" w:hAnsi="Times New Roman"/>
          <w:sz w:val="20"/>
          <w:lang w:val="en-GB"/>
        </w:rPr>
        <w:t>are RAT agnostic seen from the application.</w:t>
      </w:r>
    </w:p>
    <w:p w14:paraId="3FCB4F56" w14:textId="75AF78B2" w:rsidR="008F1FE4" w:rsidRDefault="008F1FE4" w:rsidP="00CD4C7B">
      <w:pPr>
        <w:pStyle w:val="00BodyText"/>
        <w:spacing w:after="0"/>
        <w:rPr>
          <w:rFonts w:ascii="Times New Roman" w:hAnsi="Times New Roman"/>
          <w:sz w:val="20"/>
          <w:lang w:val="en-GB"/>
        </w:rPr>
      </w:pPr>
    </w:p>
    <w:p w14:paraId="67B6386D" w14:textId="0DC6394A" w:rsidR="008F1FE4" w:rsidRPr="008F1FE4" w:rsidRDefault="008F1FE4" w:rsidP="00CD4C7B">
      <w:pPr>
        <w:pStyle w:val="00BodyText"/>
        <w:spacing w:after="0"/>
        <w:rPr>
          <w:rFonts w:ascii="Times New Roman" w:hAnsi="Times New Roman"/>
          <w:b/>
          <w:bCs/>
          <w:sz w:val="20"/>
          <w:lang w:val="en-GB"/>
        </w:rPr>
      </w:pPr>
      <w:r w:rsidRPr="008F1FE4">
        <w:rPr>
          <w:rFonts w:ascii="Times New Roman" w:hAnsi="Times New Roman"/>
          <w:b/>
          <w:bCs/>
          <w:sz w:val="20"/>
          <w:lang w:val="en-GB"/>
        </w:rPr>
        <w:t xml:space="preserve">Observation 1: It seems to be a good design choice that measurement configuration and reporting </w:t>
      </w:r>
      <w:r w:rsidR="00FB665B">
        <w:rPr>
          <w:rFonts w:ascii="Times New Roman" w:hAnsi="Times New Roman"/>
          <w:b/>
          <w:bCs/>
          <w:sz w:val="20"/>
          <w:lang w:val="en-GB"/>
        </w:rPr>
        <w:t>for legacy services (</w:t>
      </w:r>
      <w:r w:rsidR="00FB665B" w:rsidRPr="00FB665B">
        <w:rPr>
          <w:rFonts w:ascii="Times New Roman" w:hAnsi="Times New Roman"/>
          <w:b/>
          <w:bCs/>
          <w:sz w:val="20"/>
          <w:lang w:val="en-GB"/>
        </w:rPr>
        <w:t>streaming and MTSI</w:t>
      </w:r>
      <w:r w:rsidR="00FB665B">
        <w:rPr>
          <w:rFonts w:ascii="Times New Roman" w:hAnsi="Times New Roman"/>
          <w:b/>
          <w:bCs/>
          <w:sz w:val="20"/>
          <w:lang w:val="en-GB"/>
        </w:rPr>
        <w:t xml:space="preserve"> services) </w:t>
      </w:r>
      <w:r w:rsidRPr="008F1FE4">
        <w:rPr>
          <w:rFonts w:ascii="Times New Roman" w:hAnsi="Times New Roman"/>
          <w:b/>
          <w:bCs/>
          <w:sz w:val="20"/>
          <w:lang w:val="en-GB"/>
        </w:rPr>
        <w:t>are RAT agnostic seen from the application.</w:t>
      </w:r>
    </w:p>
    <w:p w14:paraId="4A01AA9E" w14:textId="3CFB3AB4" w:rsidR="008F1FE4" w:rsidRDefault="008F1FE4" w:rsidP="00CD4C7B">
      <w:pPr>
        <w:pStyle w:val="00BodyText"/>
        <w:spacing w:after="0"/>
        <w:rPr>
          <w:rFonts w:ascii="Times New Roman" w:hAnsi="Times New Roman"/>
          <w:sz w:val="20"/>
          <w:lang w:val="en-GB"/>
        </w:rPr>
      </w:pPr>
    </w:p>
    <w:p w14:paraId="0D07D3ED" w14:textId="10C9EF01" w:rsidR="008F1FE4" w:rsidRDefault="00FB665B" w:rsidP="00CD4C7B">
      <w:pPr>
        <w:pStyle w:val="00BodyText"/>
        <w:spacing w:after="0"/>
        <w:rPr>
          <w:rFonts w:ascii="Times New Roman" w:hAnsi="Times New Roman"/>
          <w:sz w:val="20"/>
          <w:lang w:val="en-GB"/>
        </w:rPr>
      </w:pPr>
      <w:r>
        <w:rPr>
          <w:rFonts w:ascii="Times New Roman" w:hAnsi="Times New Roman"/>
          <w:sz w:val="20"/>
          <w:lang w:val="en-GB"/>
        </w:rPr>
        <w:t xml:space="preserve">The question </w:t>
      </w:r>
      <w:r w:rsidR="004D18D4">
        <w:rPr>
          <w:rFonts w:ascii="Times New Roman" w:hAnsi="Times New Roman"/>
          <w:sz w:val="20"/>
          <w:lang w:val="en-GB"/>
        </w:rPr>
        <w:t>for study</w:t>
      </w:r>
      <w:r>
        <w:rPr>
          <w:rFonts w:ascii="Times New Roman" w:hAnsi="Times New Roman"/>
          <w:sz w:val="20"/>
          <w:lang w:val="en-GB"/>
        </w:rPr>
        <w:t xml:space="preserve"> is then </w:t>
      </w:r>
      <w:r w:rsidR="00054161">
        <w:rPr>
          <w:rFonts w:ascii="Times New Roman" w:hAnsi="Times New Roman"/>
          <w:sz w:val="20"/>
          <w:lang w:val="en-GB"/>
        </w:rPr>
        <w:t xml:space="preserve">whether </w:t>
      </w:r>
      <w:r w:rsidR="004D18D4">
        <w:rPr>
          <w:rFonts w:ascii="Times New Roman" w:hAnsi="Times New Roman"/>
          <w:sz w:val="20"/>
          <w:lang w:val="en-GB"/>
        </w:rPr>
        <w:t xml:space="preserve">also </w:t>
      </w:r>
      <w:r w:rsidR="00054161">
        <w:rPr>
          <w:rFonts w:ascii="Times New Roman" w:hAnsi="Times New Roman"/>
          <w:sz w:val="20"/>
          <w:lang w:val="en-GB"/>
        </w:rPr>
        <w:t xml:space="preserve">QMC for new NR services can use the LTE mechanism. </w:t>
      </w:r>
      <w:r w:rsidR="00D33A7D">
        <w:rPr>
          <w:rFonts w:ascii="Times New Roman" w:hAnsi="Times New Roman"/>
          <w:sz w:val="20"/>
          <w:lang w:val="en-GB"/>
        </w:rPr>
        <w:t>E.g. new services based on URLLC may need to measure round-trip time on application level</w:t>
      </w:r>
      <w:r w:rsidR="004D18D4">
        <w:rPr>
          <w:rFonts w:ascii="Times New Roman" w:hAnsi="Times New Roman"/>
          <w:sz w:val="20"/>
          <w:lang w:val="en-GB"/>
        </w:rPr>
        <w:t>. This comes</w:t>
      </w:r>
      <w:r w:rsidR="00D33A7D">
        <w:rPr>
          <w:rFonts w:ascii="Times New Roman" w:hAnsi="Times New Roman"/>
          <w:sz w:val="20"/>
          <w:lang w:val="en-GB"/>
        </w:rPr>
        <w:t xml:space="preserve"> on top of QoS monitoring (latency measurement) done by the network</w:t>
      </w:r>
      <w:r w:rsidR="004D18D4">
        <w:rPr>
          <w:rFonts w:ascii="Times New Roman" w:hAnsi="Times New Roman"/>
          <w:sz w:val="20"/>
          <w:lang w:val="en-GB"/>
        </w:rPr>
        <w:t xml:space="preserve"> and with involvement of the impacted network nodes, hence depending on the network architedture</w:t>
      </w:r>
      <w:r w:rsidR="00D33A7D">
        <w:rPr>
          <w:rFonts w:ascii="Times New Roman" w:hAnsi="Times New Roman"/>
          <w:sz w:val="20"/>
          <w:lang w:val="en-GB"/>
        </w:rPr>
        <w:t>.</w:t>
      </w:r>
      <w:r w:rsidR="00054161">
        <w:rPr>
          <w:rFonts w:ascii="Times New Roman" w:hAnsi="Times New Roman"/>
          <w:sz w:val="20"/>
          <w:lang w:val="en-GB"/>
        </w:rPr>
        <w:t xml:space="preserve"> </w:t>
      </w:r>
      <w:r w:rsidR="00D33A7D">
        <w:rPr>
          <w:rFonts w:ascii="Times New Roman" w:hAnsi="Times New Roman"/>
          <w:sz w:val="20"/>
          <w:lang w:val="en-GB"/>
        </w:rPr>
        <w:t xml:space="preserve">Such round-trip-time may need a different definition compared to the existing round-trip-time defined by SA4 (see table above), </w:t>
      </w:r>
      <w:r w:rsidR="004D18D4">
        <w:rPr>
          <w:rFonts w:ascii="Times New Roman" w:hAnsi="Times New Roman"/>
          <w:sz w:val="20"/>
          <w:lang w:val="en-GB"/>
        </w:rPr>
        <w:t>and</w:t>
      </w:r>
      <w:r w:rsidR="00D33A7D">
        <w:rPr>
          <w:rFonts w:ascii="Times New Roman" w:hAnsi="Times New Roman"/>
          <w:sz w:val="20"/>
          <w:lang w:val="en-GB"/>
        </w:rPr>
        <w:t xml:space="preserve"> the definition of QoE metric also for the new services will </w:t>
      </w:r>
      <w:r w:rsidR="004D18D4">
        <w:rPr>
          <w:rFonts w:ascii="Times New Roman" w:hAnsi="Times New Roman"/>
          <w:sz w:val="20"/>
          <w:lang w:val="en-GB"/>
        </w:rPr>
        <w:t>remain</w:t>
      </w:r>
      <w:r w:rsidR="00D33A7D">
        <w:rPr>
          <w:rFonts w:ascii="Times New Roman" w:hAnsi="Times New Roman"/>
          <w:sz w:val="20"/>
          <w:lang w:val="en-GB"/>
        </w:rPr>
        <w:t xml:space="preserve"> in SA4 realm. </w:t>
      </w:r>
      <w:r w:rsidR="004D18D4">
        <w:rPr>
          <w:rFonts w:ascii="Times New Roman" w:hAnsi="Times New Roman"/>
          <w:sz w:val="20"/>
          <w:lang w:val="en-GB"/>
        </w:rPr>
        <w:t>Also Time Sensitive Networks may need e.g. jitter monitoring at application level, which should still be independent of the network architecture.</w:t>
      </w:r>
    </w:p>
    <w:p w14:paraId="6E7E0F12" w14:textId="7515079E" w:rsidR="00D33A7D" w:rsidRDefault="00D33A7D" w:rsidP="00CD4C7B">
      <w:pPr>
        <w:pStyle w:val="00BodyText"/>
        <w:spacing w:after="0"/>
        <w:rPr>
          <w:rFonts w:ascii="Times New Roman" w:hAnsi="Times New Roman"/>
          <w:sz w:val="20"/>
          <w:lang w:val="en-GB"/>
        </w:rPr>
      </w:pPr>
    </w:p>
    <w:p w14:paraId="42D22FC2" w14:textId="6ADBDD69" w:rsidR="00D33A7D" w:rsidRPr="00D33A7D" w:rsidRDefault="00D33A7D" w:rsidP="00CD4C7B">
      <w:pPr>
        <w:pStyle w:val="00BodyText"/>
        <w:spacing w:after="0"/>
        <w:rPr>
          <w:rFonts w:ascii="Times New Roman" w:hAnsi="Times New Roman"/>
          <w:b/>
          <w:bCs/>
          <w:sz w:val="20"/>
          <w:lang w:val="en-GB"/>
        </w:rPr>
      </w:pPr>
      <w:r w:rsidRPr="00D33A7D">
        <w:rPr>
          <w:rFonts w:ascii="Times New Roman" w:hAnsi="Times New Roman"/>
          <w:b/>
          <w:bCs/>
          <w:sz w:val="20"/>
          <w:lang w:val="en-GB"/>
        </w:rPr>
        <w:t xml:space="preserve">Observation 2: </w:t>
      </w:r>
      <w:r w:rsidR="004D18D4">
        <w:rPr>
          <w:rFonts w:ascii="Times New Roman" w:hAnsi="Times New Roman"/>
          <w:b/>
          <w:bCs/>
          <w:sz w:val="20"/>
          <w:lang w:val="en-GB"/>
        </w:rPr>
        <w:t>QoS monitoring is defined by SA2/RAN3/RAN2 and depends on the network architecture, while d</w:t>
      </w:r>
      <w:r w:rsidRPr="00D33A7D">
        <w:rPr>
          <w:rFonts w:ascii="Times New Roman" w:hAnsi="Times New Roman"/>
          <w:b/>
          <w:bCs/>
          <w:sz w:val="20"/>
          <w:lang w:val="en-GB"/>
        </w:rPr>
        <w:t>efinition of QoE metric for new services running on NR will remain in SA4 realm</w:t>
      </w:r>
      <w:r w:rsidR="004D18D4">
        <w:rPr>
          <w:rFonts w:ascii="Times New Roman" w:hAnsi="Times New Roman"/>
          <w:b/>
          <w:bCs/>
          <w:sz w:val="20"/>
          <w:lang w:val="en-GB"/>
        </w:rPr>
        <w:t xml:space="preserve"> and is independent of network architecture</w:t>
      </w:r>
      <w:r w:rsidRPr="00D33A7D">
        <w:rPr>
          <w:rFonts w:ascii="Times New Roman" w:hAnsi="Times New Roman"/>
          <w:b/>
          <w:bCs/>
          <w:sz w:val="20"/>
          <w:lang w:val="en-GB"/>
        </w:rPr>
        <w:t>.</w:t>
      </w:r>
    </w:p>
    <w:p w14:paraId="6920C08F" w14:textId="77777777" w:rsidR="00D33A7D" w:rsidRDefault="00D33A7D" w:rsidP="00CD4C7B">
      <w:pPr>
        <w:pStyle w:val="00BodyText"/>
        <w:spacing w:after="0"/>
        <w:rPr>
          <w:rFonts w:ascii="Times New Roman" w:hAnsi="Times New Roman"/>
          <w:sz w:val="20"/>
          <w:lang w:val="en-GB"/>
        </w:rPr>
      </w:pPr>
    </w:p>
    <w:p w14:paraId="3DE2CFE2" w14:textId="2FDBA4C4" w:rsidR="00B10034" w:rsidRDefault="004D18D4" w:rsidP="00CD4C7B">
      <w:pPr>
        <w:pStyle w:val="00BodyText"/>
        <w:spacing w:after="0"/>
        <w:rPr>
          <w:rFonts w:ascii="Times New Roman" w:hAnsi="Times New Roman"/>
          <w:sz w:val="20"/>
          <w:lang w:val="en-GB"/>
        </w:rPr>
      </w:pPr>
      <w:r>
        <w:rPr>
          <w:rFonts w:ascii="Times New Roman" w:hAnsi="Times New Roman"/>
          <w:sz w:val="20"/>
          <w:lang w:val="en-GB"/>
        </w:rPr>
        <w:t>Based on the above, it can be considered that MDT is a suitable baseline for QMC for NR services.</w:t>
      </w:r>
    </w:p>
    <w:p w14:paraId="184CCF98" w14:textId="55C4AC45" w:rsidR="004D18D4" w:rsidRDefault="004D18D4" w:rsidP="00CD4C7B">
      <w:pPr>
        <w:pStyle w:val="00BodyText"/>
        <w:spacing w:after="0"/>
        <w:rPr>
          <w:rFonts w:ascii="Times New Roman" w:hAnsi="Times New Roman"/>
          <w:sz w:val="20"/>
          <w:lang w:val="en-GB"/>
        </w:rPr>
      </w:pPr>
    </w:p>
    <w:p w14:paraId="7511B9CA" w14:textId="03855EF2" w:rsidR="004D18D4" w:rsidRPr="004D18D4" w:rsidRDefault="004D18D4" w:rsidP="00CD4C7B">
      <w:pPr>
        <w:pStyle w:val="00BodyText"/>
        <w:spacing w:after="0"/>
        <w:rPr>
          <w:rFonts w:ascii="Times New Roman" w:hAnsi="Times New Roman"/>
          <w:b/>
          <w:bCs/>
          <w:sz w:val="20"/>
          <w:lang w:val="en-GB"/>
        </w:rPr>
      </w:pPr>
      <w:r w:rsidRPr="004D18D4">
        <w:rPr>
          <w:rFonts w:ascii="Times New Roman" w:hAnsi="Times New Roman"/>
          <w:b/>
          <w:bCs/>
          <w:sz w:val="20"/>
          <w:lang w:val="en-GB"/>
        </w:rPr>
        <w:t>Proposal: Use MDT as baseline for QMC for NR services.</w:t>
      </w:r>
    </w:p>
    <w:p w14:paraId="27105D97" w14:textId="77777777" w:rsidR="00632D1B" w:rsidRDefault="00632D1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3F40AF36" w:rsidR="00CD4C7B" w:rsidRDefault="0023539B" w:rsidP="00CD4C7B">
      <w:r>
        <w:t>We have made the following observations and proposal:</w:t>
      </w:r>
    </w:p>
    <w:p w14:paraId="22C20C57" w14:textId="77777777" w:rsidR="0023539B" w:rsidRDefault="0023539B" w:rsidP="0023539B">
      <w:pPr>
        <w:pStyle w:val="00BodyText"/>
        <w:spacing w:after="0"/>
        <w:rPr>
          <w:rFonts w:ascii="Times New Roman" w:hAnsi="Times New Roman"/>
          <w:b/>
          <w:bCs/>
          <w:sz w:val="20"/>
          <w:lang w:val="en-GB"/>
        </w:rPr>
      </w:pPr>
      <w:r>
        <w:rPr>
          <w:rFonts w:ascii="Times New Roman" w:hAnsi="Times New Roman"/>
          <w:b/>
          <w:bCs/>
          <w:sz w:val="20"/>
          <w:lang w:val="en-GB"/>
        </w:rPr>
        <w:t>Observation 1: It seems to be a good design choice that measurement configuration and reporting for legacy services (streaming and MTSI services) are RAT agnostic seen from the application.</w:t>
      </w:r>
    </w:p>
    <w:p w14:paraId="7B1F0C86" w14:textId="77777777" w:rsidR="0023539B" w:rsidRDefault="0023539B" w:rsidP="0023539B">
      <w:pPr>
        <w:pStyle w:val="00BodyText"/>
        <w:spacing w:after="0"/>
        <w:rPr>
          <w:rFonts w:ascii="Times New Roman" w:hAnsi="Times New Roman"/>
          <w:b/>
          <w:bCs/>
          <w:sz w:val="20"/>
          <w:lang w:val="en-GB"/>
        </w:rPr>
      </w:pPr>
    </w:p>
    <w:p w14:paraId="26101C22" w14:textId="71305BAD" w:rsidR="0023539B" w:rsidRDefault="0023539B" w:rsidP="0023539B">
      <w:pPr>
        <w:pStyle w:val="00BodyText"/>
        <w:spacing w:after="0"/>
        <w:rPr>
          <w:rFonts w:ascii="Times New Roman" w:hAnsi="Times New Roman"/>
          <w:b/>
          <w:bCs/>
          <w:sz w:val="20"/>
          <w:lang w:val="en-GB"/>
        </w:rPr>
      </w:pPr>
      <w:r>
        <w:rPr>
          <w:rFonts w:ascii="Times New Roman" w:hAnsi="Times New Roman"/>
          <w:b/>
          <w:bCs/>
          <w:sz w:val="20"/>
          <w:lang w:val="en-GB"/>
        </w:rPr>
        <w:lastRenderedPageBreak/>
        <w:t>Observation 2: QoS monitoring is defined by SA2/RAN3/RAN2 and depends on the network architecture, while definition of QoE metric for new services running on NR will remain in SA4 realm and is independent of network architecture.</w:t>
      </w:r>
    </w:p>
    <w:p w14:paraId="6739E45F" w14:textId="77777777" w:rsidR="0023539B" w:rsidRDefault="0023539B" w:rsidP="0023539B">
      <w:pPr>
        <w:pStyle w:val="00BodyText"/>
        <w:spacing w:after="0"/>
        <w:rPr>
          <w:rFonts w:ascii="Times New Roman" w:hAnsi="Times New Roman"/>
          <w:b/>
          <w:bCs/>
          <w:sz w:val="20"/>
          <w:lang w:val="en-GB"/>
        </w:rPr>
      </w:pPr>
    </w:p>
    <w:p w14:paraId="0B28C70A" w14:textId="77777777" w:rsidR="0023539B" w:rsidRDefault="0023539B" w:rsidP="0023539B">
      <w:pPr>
        <w:pStyle w:val="00BodyText"/>
        <w:spacing w:after="0"/>
        <w:rPr>
          <w:rFonts w:ascii="Times New Roman" w:hAnsi="Times New Roman"/>
          <w:b/>
          <w:bCs/>
          <w:sz w:val="20"/>
          <w:lang w:val="en-GB"/>
        </w:rPr>
      </w:pPr>
      <w:r>
        <w:rPr>
          <w:rFonts w:ascii="Times New Roman" w:hAnsi="Times New Roman"/>
          <w:b/>
          <w:bCs/>
          <w:sz w:val="20"/>
          <w:lang w:val="en-GB"/>
        </w:rPr>
        <w:t>Proposal: Use MDT as baseline for QMC for NR services.</w:t>
      </w:r>
    </w:p>
    <w:p w14:paraId="1DD4FB92" w14:textId="77777777" w:rsidR="00CD4C7B" w:rsidRPr="006E13D1" w:rsidRDefault="00CD4C7B" w:rsidP="00CD4C7B">
      <w:bookmarkStart w:id="2" w:name="_GoBack"/>
      <w:bookmarkEnd w:id="2"/>
    </w:p>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C5F4E" w14:textId="77777777" w:rsidR="00AF697F" w:rsidRDefault="00AF697F">
      <w:r>
        <w:separator/>
      </w:r>
    </w:p>
  </w:endnote>
  <w:endnote w:type="continuationSeparator" w:id="0">
    <w:p w14:paraId="02C04E32" w14:textId="77777777" w:rsidR="00AF697F" w:rsidRDefault="00AF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C3691" w14:textId="77777777" w:rsidR="00AF697F" w:rsidRDefault="00AF697F">
      <w:r>
        <w:separator/>
      </w:r>
    </w:p>
  </w:footnote>
  <w:footnote w:type="continuationSeparator" w:id="0">
    <w:p w14:paraId="30C0DCA5" w14:textId="77777777" w:rsidR="00AF697F" w:rsidRDefault="00AF6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cs="Times New Roman" w:hint="default"/>
      </w:rPr>
    </w:lvl>
    <w:lvl w:ilvl="4" w:tplc="B4C20042">
      <w:start w:val="1"/>
      <w:numFmt w:val="bullet"/>
      <w:lvlText w:val=""/>
      <w:lvlJc w:val="left"/>
      <w:pPr>
        <w:tabs>
          <w:tab w:val="num" w:pos="3240"/>
        </w:tabs>
        <w:ind w:left="3240" w:hanging="360"/>
      </w:pPr>
      <w:rPr>
        <w:rFonts w:ascii="Wingdings" w:hAnsi="Wingdings" w:hint="default"/>
      </w:rPr>
    </w:lvl>
    <w:lvl w:ilvl="5" w:tplc="1B90CE9E">
      <w:start w:val="1"/>
      <w:numFmt w:val="bullet"/>
      <w:lvlText w:val=""/>
      <w:lvlJc w:val="left"/>
      <w:pPr>
        <w:tabs>
          <w:tab w:val="num" w:pos="3960"/>
        </w:tabs>
        <w:ind w:left="3960" w:hanging="360"/>
      </w:pPr>
      <w:rPr>
        <w:rFonts w:ascii="Wingdings" w:hAnsi="Wingdings" w:hint="default"/>
      </w:rPr>
    </w:lvl>
    <w:lvl w:ilvl="6" w:tplc="21366256">
      <w:start w:val="1"/>
      <w:numFmt w:val="bullet"/>
      <w:lvlText w:val=""/>
      <w:lvlJc w:val="left"/>
      <w:pPr>
        <w:tabs>
          <w:tab w:val="num" w:pos="4680"/>
        </w:tabs>
        <w:ind w:left="4680" w:hanging="360"/>
      </w:pPr>
      <w:rPr>
        <w:rFonts w:ascii="Wingdings" w:hAnsi="Wingdings" w:hint="default"/>
      </w:rPr>
    </w:lvl>
    <w:lvl w:ilvl="7" w:tplc="D208F542">
      <w:start w:val="1"/>
      <w:numFmt w:val="bullet"/>
      <w:lvlText w:val=""/>
      <w:lvlJc w:val="left"/>
      <w:pPr>
        <w:tabs>
          <w:tab w:val="num" w:pos="5400"/>
        </w:tabs>
        <w:ind w:left="5400" w:hanging="360"/>
      </w:pPr>
      <w:rPr>
        <w:rFonts w:ascii="Wingdings" w:hAnsi="Wingdings" w:hint="default"/>
      </w:rPr>
    </w:lvl>
    <w:lvl w:ilvl="8" w:tplc="744A9A76">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515C"/>
    <w:rsid w:val="00033397"/>
    <w:rsid w:val="000342C7"/>
    <w:rsid w:val="00040095"/>
    <w:rsid w:val="00054161"/>
    <w:rsid w:val="0005563E"/>
    <w:rsid w:val="00080512"/>
    <w:rsid w:val="00083F0D"/>
    <w:rsid w:val="000B7BCF"/>
    <w:rsid w:val="000C556D"/>
    <w:rsid w:val="000D376D"/>
    <w:rsid w:val="000D58AB"/>
    <w:rsid w:val="001075B7"/>
    <w:rsid w:val="001370F2"/>
    <w:rsid w:val="001549DD"/>
    <w:rsid w:val="00165D8A"/>
    <w:rsid w:val="001813DB"/>
    <w:rsid w:val="00194CD0"/>
    <w:rsid w:val="001B08B3"/>
    <w:rsid w:val="001C4281"/>
    <w:rsid w:val="001D0D3F"/>
    <w:rsid w:val="001F168B"/>
    <w:rsid w:val="001F70B7"/>
    <w:rsid w:val="0022606D"/>
    <w:rsid w:val="002305DD"/>
    <w:rsid w:val="0023539B"/>
    <w:rsid w:val="00243BC7"/>
    <w:rsid w:val="002623FC"/>
    <w:rsid w:val="0026537C"/>
    <w:rsid w:val="002747EC"/>
    <w:rsid w:val="002855BF"/>
    <w:rsid w:val="002E1692"/>
    <w:rsid w:val="002F0D22"/>
    <w:rsid w:val="0030443E"/>
    <w:rsid w:val="003172DC"/>
    <w:rsid w:val="00326069"/>
    <w:rsid w:val="003454FC"/>
    <w:rsid w:val="0035462D"/>
    <w:rsid w:val="00363177"/>
    <w:rsid w:val="003B3FB3"/>
    <w:rsid w:val="003C4E37"/>
    <w:rsid w:val="003E1194"/>
    <w:rsid w:val="003E16BE"/>
    <w:rsid w:val="003E7223"/>
    <w:rsid w:val="00401855"/>
    <w:rsid w:val="00464695"/>
    <w:rsid w:val="00484DC5"/>
    <w:rsid w:val="004D18D4"/>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0BFE"/>
    <w:rsid w:val="005B1232"/>
    <w:rsid w:val="005B2EEF"/>
    <w:rsid w:val="005D4274"/>
    <w:rsid w:val="005F06D1"/>
    <w:rsid w:val="005F2BA5"/>
    <w:rsid w:val="00605E3E"/>
    <w:rsid w:val="00606DA9"/>
    <w:rsid w:val="00611566"/>
    <w:rsid w:val="00632D1B"/>
    <w:rsid w:val="00656E1E"/>
    <w:rsid w:val="006604E4"/>
    <w:rsid w:val="006C54B5"/>
    <w:rsid w:val="006D1E24"/>
    <w:rsid w:val="00734A5B"/>
    <w:rsid w:val="00741EC5"/>
    <w:rsid w:val="00743525"/>
    <w:rsid w:val="00744E76"/>
    <w:rsid w:val="007476DB"/>
    <w:rsid w:val="00747CE6"/>
    <w:rsid w:val="00757D40"/>
    <w:rsid w:val="00774846"/>
    <w:rsid w:val="00781F0F"/>
    <w:rsid w:val="0078727C"/>
    <w:rsid w:val="00797D4B"/>
    <w:rsid w:val="007C095F"/>
    <w:rsid w:val="007D5902"/>
    <w:rsid w:val="00802106"/>
    <w:rsid w:val="008028A4"/>
    <w:rsid w:val="00806520"/>
    <w:rsid w:val="00840916"/>
    <w:rsid w:val="00853EDD"/>
    <w:rsid w:val="008604EE"/>
    <w:rsid w:val="008768CA"/>
    <w:rsid w:val="00880559"/>
    <w:rsid w:val="00883115"/>
    <w:rsid w:val="008A1716"/>
    <w:rsid w:val="008C490B"/>
    <w:rsid w:val="008F1FE4"/>
    <w:rsid w:val="008F720B"/>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82346"/>
    <w:rsid w:val="00A8361A"/>
    <w:rsid w:val="00A9671C"/>
    <w:rsid w:val="00AD4BCF"/>
    <w:rsid w:val="00AD4D01"/>
    <w:rsid w:val="00AF4706"/>
    <w:rsid w:val="00AF697F"/>
    <w:rsid w:val="00AF78D5"/>
    <w:rsid w:val="00B017D3"/>
    <w:rsid w:val="00B10034"/>
    <w:rsid w:val="00B1063A"/>
    <w:rsid w:val="00B15449"/>
    <w:rsid w:val="00B9781E"/>
    <w:rsid w:val="00BF79F1"/>
    <w:rsid w:val="00C03035"/>
    <w:rsid w:val="00C33079"/>
    <w:rsid w:val="00C365F1"/>
    <w:rsid w:val="00C43B31"/>
    <w:rsid w:val="00C50536"/>
    <w:rsid w:val="00C52749"/>
    <w:rsid w:val="00C55EB7"/>
    <w:rsid w:val="00C66B4E"/>
    <w:rsid w:val="00CA3D0C"/>
    <w:rsid w:val="00CB6651"/>
    <w:rsid w:val="00CB6887"/>
    <w:rsid w:val="00CD4C7B"/>
    <w:rsid w:val="00D22038"/>
    <w:rsid w:val="00D33A7D"/>
    <w:rsid w:val="00D738D6"/>
    <w:rsid w:val="00D80795"/>
    <w:rsid w:val="00D87E00"/>
    <w:rsid w:val="00D9134D"/>
    <w:rsid w:val="00D97CD9"/>
    <w:rsid w:val="00DA7A03"/>
    <w:rsid w:val="00DB1818"/>
    <w:rsid w:val="00DC309B"/>
    <w:rsid w:val="00DC4DA2"/>
    <w:rsid w:val="00DE1406"/>
    <w:rsid w:val="00E07838"/>
    <w:rsid w:val="00E340BC"/>
    <w:rsid w:val="00E62835"/>
    <w:rsid w:val="00E77645"/>
    <w:rsid w:val="00E852FF"/>
    <w:rsid w:val="00E90ABE"/>
    <w:rsid w:val="00EA22F8"/>
    <w:rsid w:val="00EC4A25"/>
    <w:rsid w:val="00EE0A1E"/>
    <w:rsid w:val="00F025A2"/>
    <w:rsid w:val="00F2026E"/>
    <w:rsid w:val="00F2210A"/>
    <w:rsid w:val="00F37743"/>
    <w:rsid w:val="00F405C7"/>
    <w:rsid w:val="00F54A3D"/>
    <w:rsid w:val="00F653B8"/>
    <w:rsid w:val="00F76153"/>
    <w:rsid w:val="00F76F8F"/>
    <w:rsid w:val="00F960FD"/>
    <w:rsid w:val="00FA1266"/>
    <w:rsid w:val="00FB2BEA"/>
    <w:rsid w:val="00FB665B"/>
    <w:rsid w:val="00FC1192"/>
    <w:rsid w:val="00FC53B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8F720B"/>
    <w:pPr>
      <w:spacing w:after="0"/>
    </w:pPr>
    <w:rPr>
      <w:rFonts w:ascii="Segoe UI" w:hAnsi="Segoe UI" w:cs="Segoe UI"/>
      <w:sz w:val="18"/>
      <w:szCs w:val="18"/>
    </w:rPr>
  </w:style>
  <w:style w:type="character" w:customStyle="1" w:styleId="BalloonTextChar">
    <w:name w:val="Balloon Text Char"/>
    <w:link w:val="BalloonText"/>
    <w:semiHidden/>
    <w:rsid w:val="008F720B"/>
    <w:rPr>
      <w:rFonts w:ascii="Segoe UI" w:hAnsi="Segoe UI" w:cs="Segoe UI"/>
      <w:sz w:val="18"/>
      <w:szCs w:val="18"/>
      <w:lang w:val="en-GB" w:eastAsia="en-US"/>
    </w:rPr>
  </w:style>
  <w:style w:type="table" w:styleId="TableGrid">
    <w:name w:val="Table Grid"/>
    <w:basedOn w:val="TableNormal"/>
    <w:rsid w:val="00F96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B665B"/>
    <w:rPr>
      <w:rFonts w:ascii="Arial" w:hAnsi="Arial"/>
      <w:b/>
      <w:lang w:val="en-GB" w:eastAsia="en-US"/>
    </w:rPr>
  </w:style>
  <w:style w:type="character" w:customStyle="1" w:styleId="TFChar">
    <w:name w:val="TF Char"/>
    <w:link w:val="TF"/>
    <w:uiPriority w:val="99"/>
    <w:rsid w:val="00FB66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395172">
      <w:bodyDiv w:val="1"/>
      <w:marLeft w:val="0"/>
      <w:marRight w:val="0"/>
      <w:marTop w:val="0"/>
      <w:marBottom w:val="0"/>
      <w:divBdr>
        <w:top w:val="none" w:sz="0" w:space="0" w:color="auto"/>
        <w:left w:val="none" w:sz="0" w:space="0" w:color="auto"/>
        <w:bottom w:val="none" w:sz="0" w:space="0" w:color="auto"/>
        <w:right w:val="none" w:sz="0" w:space="0" w:color="auto"/>
      </w:divBdr>
    </w:div>
    <w:div w:id="637224563">
      <w:bodyDiv w:val="1"/>
      <w:marLeft w:val="0"/>
      <w:marRight w:val="0"/>
      <w:marTop w:val="0"/>
      <w:marBottom w:val="0"/>
      <w:divBdr>
        <w:top w:val="none" w:sz="0" w:space="0" w:color="auto"/>
        <w:left w:val="none" w:sz="0" w:space="0" w:color="auto"/>
        <w:bottom w:val="none" w:sz="0" w:space="0" w:color="auto"/>
        <w:right w:val="none" w:sz="0" w:space="0" w:color="auto"/>
      </w:divBdr>
    </w:div>
    <w:div w:id="707030351">
      <w:bodyDiv w:val="1"/>
      <w:marLeft w:val="0"/>
      <w:marRight w:val="0"/>
      <w:marTop w:val="0"/>
      <w:marBottom w:val="0"/>
      <w:divBdr>
        <w:top w:val="none" w:sz="0" w:space="0" w:color="auto"/>
        <w:left w:val="none" w:sz="0" w:space="0" w:color="auto"/>
        <w:bottom w:val="none" w:sz="0" w:space="0" w:color="auto"/>
        <w:right w:val="none" w:sz="0" w:space="0" w:color="auto"/>
      </w:divBdr>
    </w:div>
    <w:div w:id="937912893">
      <w:bodyDiv w:val="1"/>
      <w:marLeft w:val="0"/>
      <w:marRight w:val="0"/>
      <w:marTop w:val="0"/>
      <w:marBottom w:val="0"/>
      <w:divBdr>
        <w:top w:val="none" w:sz="0" w:space="0" w:color="auto"/>
        <w:left w:val="none" w:sz="0" w:space="0" w:color="auto"/>
        <w:bottom w:val="none" w:sz="0" w:space="0" w:color="auto"/>
        <w:right w:val="none" w:sz="0" w:space="0" w:color="auto"/>
      </w:divBdr>
    </w:div>
    <w:div w:id="9525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110</TotalTime>
  <Pages>3</Pages>
  <Words>937</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31</cp:revision>
  <dcterms:created xsi:type="dcterms:W3CDTF">2019-06-29T13:33:00Z</dcterms:created>
  <dcterms:modified xsi:type="dcterms:W3CDTF">2020-08-06T19:44:00Z</dcterms:modified>
</cp:coreProperties>
</file>